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DCB00" w14:textId="68C4B368" w:rsidR="00A65C58" w:rsidRDefault="001B34B4" w:rsidP="00A65C58">
      <w:pPr>
        <w:jc w:val="center"/>
        <w:rPr>
          <w:rFonts w:eastAsia="MS Mincho"/>
        </w:rPr>
      </w:pPr>
      <w:r w:rsidRPr="001B34B4">
        <w:rPr>
          <w:rFonts w:eastAsia="MS Mincho"/>
          <w:noProof/>
        </w:rPr>
        <w:drawing>
          <wp:inline distT="0" distB="0" distL="0" distR="0" wp14:anchorId="5D239424" wp14:editId="246D6C59">
            <wp:extent cx="5778230" cy="8702841"/>
            <wp:effectExtent l="0" t="0" r="635" b="0"/>
            <wp:docPr id="1414801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801241" name=""/>
                    <pic:cNvPicPr/>
                  </pic:nvPicPr>
                  <pic:blipFill>
                    <a:blip r:embed="rId6"/>
                    <a:stretch>
                      <a:fillRect/>
                    </a:stretch>
                  </pic:blipFill>
                  <pic:spPr>
                    <a:xfrm>
                      <a:off x="0" y="0"/>
                      <a:ext cx="5815163" cy="8758468"/>
                    </a:xfrm>
                    <a:prstGeom prst="rect">
                      <a:avLst/>
                    </a:prstGeom>
                  </pic:spPr>
                </pic:pic>
              </a:graphicData>
            </a:graphic>
          </wp:inline>
        </w:drawing>
      </w:r>
    </w:p>
    <w:p w14:paraId="264C0EE9" w14:textId="77777777" w:rsidR="00AE438E" w:rsidRPr="00A767B8" w:rsidRDefault="00AE438E" w:rsidP="00AE438E">
      <w:pPr>
        <w:jc w:val="center"/>
        <w:rPr>
          <w:rFonts w:eastAsia="MS Mincho"/>
          <w:b/>
          <w:bCs/>
        </w:rPr>
      </w:pPr>
      <w:r w:rsidRPr="00CD7817">
        <w:rPr>
          <w:rFonts w:cs="Times New Roman"/>
          <w:b/>
          <w:bCs/>
          <w:sz w:val="18"/>
          <w:szCs w:val="18"/>
        </w:rPr>
        <w:t>Figure S1.</w:t>
      </w:r>
      <w:r w:rsidRPr="00A767B8">
        <w:rPr>
          <w:rFonts w:cs="Times New Roman"/>
          <w:b/>
          <w:bCs/>
          <w:sz w:val="18"/>
          <w:szCs w:val="18"/>
        </w:rPr>
        <w:t xml:space="preserve"> A summary of literature reviews focusing on the impact of seizure on brain tumor outcomes.</w:t>
      </w:r>
    </w:p>
    <w:p w14:paraId="68766257" w14:textId="77777777" w:rsidR="001B34B4" w:rsidRPr="00730E0D" w:rsidRDefault="001B34B4" w:rsidP="001B34B4">
      <w:pPr>
        <w:pStyle w:val="af5"/>
        <w:jc w:val="both"/>
        <w:rPr>
          <w:rFonts w:cs="Times New Roman"/>
          <w:b/>
          <w:bCs/>
        </w:rPr>
      </w:pPr>
      <w:r w:rsidRPr="00730E0D">
        <w:rPr>
          <w:rFonts w:cs="Times New Roman"/>
          <w:b/>
          <w:bCs/>
        </w:rPr>
        <w:lastRenderedPageBreak/>
        <w:t>References</w:t>
      </w:r>
      <w:r w:rsidRPr="00730E0D">
        <w:rPr>
          <w:rFonts w:cs="Times New Roman"/>
          <w:b/>
          <w:bCs/>
          <w:sz w:val="24"/>
          <w:szCs w:val="24"/>
        </w:rPr>
        <w:fldChar w:fldCharType="begin"/>
      </w:r>
      <w:r w:rsidRPr="00730E0D">
        <w:rPr>
          <w:rFonts w:cs="Times New Roman"/>
          <w:b/>
          <w:bCs/>
          <w:sz w:val="24"/>
          <w:szCs w:val="24"/>
        </w:rPr>
        <w:instrText xml:space="preserve"> ADDIN ZOTERO_BIBL {"uncited":[],"omitted":[],"custom":[]} CSL_BIBLIOGRAPHY </w:instrText>
      </w:r>
      <w:r w:rsidRPr="00730E0D">
        <w:rPr>
          <w:rFonts w:cs="Times New Roman"/>
          <w:b/>
          <w:bCs/>
          <w:sz w:val="24"/>
          <w:szCs w:val="24"/>
        </w:rPr>
        <w:fldChar w:fldCharType="separate"/>
      </w:r>
    </w:p>
    <w:p w14:paraId="20A79B7E" w14:textId="77777777" w:rsidR="001B34B4" w:rsidRPr="001B34B4" w:rsidRDefault="001B34B4" w:rsidP="001B34B4">
      <w:pPr>
        <w:pStyle w:val="af5"/>
        <w:jc w:val="both"/>
        <w:rPr>
          <w:rFonts w:cs="Times New Roman"/>
          <w:sz w:val="23"/>
          <w:szCs w:val="23"/>
        </w:rPr>
      </w:pPr>
      <w:r w:rsidRPr="001B34B4">
        <w:rPr>
          <w:rFonts w:cs="Times New Roman"/>
          <w:sz w:val="23"/>
          <w:szCs w:val="23"/>
        </w:rPr>
        <w:t>1.</w:t>
      </w:r>
      <w:r w:rsidRPr="001B34B4">
        <w:rPr>
          <w:rFonts w:cs="Times New Roman"/>
          <w:sz w:val="23"/>
          <w:szCs w:val="23"/>
        </w:rPr>
        <w:tab/>
        <w:t xml:space="preserve">Mirsattari SM, Chong JJR, Hammond RR, Megyesi JF, Macdonald DR, Lee DH, et al. Do epileptic seizures predict outcome in patients with oligodendroglioma? Epilepsy Research. 2011 Mar;94(1–2):39–44. </w:t>
      </w:r>
    </w:p>
    <w:p w14:paraId="5904FC3A" w14:textId="77777777" w:rsidR="001B34B4" w:rsidRPr="001B34B4" w:rsidRDefault="001B34B4" w:rsidP="001B34B4">
      <w:pPr>
        <w:pStyle w:val="af5"/>
        <w:jc w:val="both"/>
        <w:rPr>
          <w:rFonts w:cs="Times New Roman"/>
          <w:sz w:val="23"/>
          <w:szCs w:val="23"/>
        </w:rPr>
      </w:pPr>
      <w:r w:rsidRPr="001B34B4">
        <w:rPr>
          <w:rFonts w:cs="Times New Roman"/>
          <w:sz w:val="23"/>
          <w:szCs w:val="23"/>
        </w:rPr>
        <w:t>2.</w:t>
      </w:r>
      <w:r w:rsidRPr="001B34B4">
        <w:rPr>
          <w:rFonts w:cs="Times New Roman"/>
          <w:sz w:val="23"/>
          <w:szCs w:val="23"/>
        </w:rPr>
        <w:tab/>
        <w:t xml:space="preserve">Pallud J, Audureau E, Blonski M, Sanai N, Bauchet L, Fontaine D, et al. Epileptic seizures in diffuse low-grade gliomas in adults. Brain. 2014 Feb;137(2):449–62. </w:t>
      </w:r>
    </w:p>
    <w:p w14:paraId="2F4D138A" w14:textId="77777777" w:rsidR="001B34B4" w:rsidRPr="001B34B4" w:rsidRDefault="001B34B4" w:rsidP="001B34B4">
      <w:pPr>
        <w:pStyle w:val="af5"/>
        <w:jc w:val="both"/>
        <w:rPr>
          <w:rFonts w:cs="Times New Roman"/>
          <w:sz w:val="23"/>
          <w:szCs w:val="23"/>
        </w:rPr>
      </w:pPr>
      <w:r w:rsidRPr="001B34B4">
        <w:rPr>
          <w:rFonts w:cs="Times New Roman"/>
          <w:sz w:val="23"/>
          <w:szCs w:val="23"/>
        </w:rPr>
        <w:t>3.</w:t>
      </w:r>
      <w:r w:rsidRPr="001B34B4">
        <w:rPr>
          <w:rFonts w:cs="Times New Roman"/>
          <w:sz w:val="23"/>
          <w:szCs w:val="23"/>
        </w:rPr>
        <w:tab/>
        <w:t xml:space="preserve">Lapointe S, Florescu M, Nguyen DK, Djeffal C, Bélanger K. Prophylactic anticonvulsants for gliomas: a seven-year retrospective analysis. Neuro-Oncology Practice. 2015 Dec 1;2(4):192–8. </w:t>
      </w:r>
    </w:p>
    <w:p w14:paraId="3AF36023" w14:textId="77777777" w:rsidR="001B34B4" w:rsidRPr="001B34B4" w:rsidRDefault="001B34B4" w:rsidP="001B34B4">
      <w:pPr>
        <w:pStyle w:val="af5"/>
        <w:jc w:val="both"/>
        <w:rPr>
          <w:rFonts w:cs="Times New Roman"/>
          <w:sz w:val="23"/>
          <w:szCs w:val="23"/>
        </w:rPr>
      </w:pPr>
      <w:r w:rsidRPr="001B34B4">
        <w:rPr>
          <w:rFonts w:cs="Times New Roman"/>
          <w:sz w:val="23"/>
          <w:szCs w:val="23"/>
        </w:rPr>
        <w:t>4.</w:t>
      </w:r>
      <w:r w:rsidRPr="001B34B4">
        <w:rPr>
          <w:rFonts w:cs="Times New Roman"/>
          <w:sz w:val="23"/>
          <w:szCs w:val="23"/>
        </w:rPr>
        <w:tab/>
        <w:t xml:space="preserve">Toledo M, Sarria-Estrada S, Quintana M, Maldonado X, Martinez-Ricarte F, Rodon J, et al. Prognostic implications of epilepsy in glioblastomas. Clinical Neurology and Neurosurgery. 2015 Dec;139:166–71. </w:t>
      </w:r>
    </w:p>
    <w:p w14:paraId="25BBF1BD" w14:textId="77777777" w:rsidR="001B34B4" w:rsidRPr="001B34B4" w:rsidRDefault="001B34B4" w:rsidP="001B34B4">
      <w:pPr>
        <w:pStyle w:val="af5"/>
        <w:jc w:val="both"/>
        <w:rPr>
          <w:rFonts w:cs="Times New Roman"/>
          <w:sz w:val="23"/>
          <w:szCs w:val="23"/>
        </w:rPr>
      </w:pPr>
      <w:r w:rsidRPr="001B34B4">
        <w:rPr>
          <w:rFonts w:cs="Times New Roman"/>
          <w:sz w:val="23"/>
          <w:szCs w:val="23"/>
        </w:rPr>
        <w:t>5.</w:t>
      </w:r>
      <w:r w:rsidRPr="001B34B4">
        <w:rPr>
          <w:rFonts w:cs="Times New Roman"/>
          <w:sz w:val="23"/>
          <w:szCs w:val="23"/>
        </w:rPr>
        <w:tab/>
        <w:t xml:space="preserve">Berendsen S, Varkila M, Kroonen J, Seute T, Snijders TJ, Kauw F, et al. Prognostic relevance of epilepsy at presentation in glioblastoma patients. Neuro Oncol. 2016 May;18(5):700–6. </w:t>
      </w:r>
    </w:p>
    <w:p w14:paraId="36359D07" w14:textId="77777777" w:rsidR="001B34B4" w:rsidRPr="001B34B4" w:rsidRDefault="001B34B4" w:rsidP="001B34B4">
      <w:pPr>
        <w:pStyle w:val="af5"/>
        <w:jc w:val="both"/>
        <w:rPr>
          <w:rFonts w:cs="Times New Roman"/>
          <w:sz w:val="23"/>
          <w:szCs w:val="23"/>
        </w:rPr>
      </w:pPr>
      <w:r w:rsidRPr="001B34B4">
        <w:rPr>
          <w:rFonts w:cs="Times New Roman"/>
          <w:sz w:val="23"/>
          <w:szCs w:val="23"/>
        </w:rPr>
        <w:t>6.</w:t>
      </w:r>
      <w:r w:rsidRPr="001B34B4">
        <w:rPr>
          <w:rFonts w:cs="Times New Roman"/>
          <w:sz w:val="23"/>
          <w:szCs w:val="23"/>
        </w:rPr>
        <w:tab/>
        <w:t xml:space="preserve">Flanigan PM, Jahangiri A, Kuang R, Truong A, Choi S, Chou A, et al. Improved Survival with Decreased Wait Time to Surgery in Glioblastoma Patients Presenting with Seizure. NEUROSURGERY. 2017 Nov;81(5):824–33. </w:t>
      </w:r>
    </w:p>
    <w:p w14:paraId="41D5E651" w14:textId="77777777" w:rsidR="001B34B4" w:rsidRPr="001B34B4" w:rsidRDefault="001B34B4" w:rsidP="001B34B4">
      <w:pPr>
        <w:pStyle w:val="af5"/>
        <w:jc w:val="both"/>
        <w:rPr>
          <w:rFonts w:cs="Times New Roman"/>
          <w:sz w:val="23"/>
          <w:szCs w:val="23"/>
        </w:rPr>
      </w:pPr>
      <w:r w:rsidRPr="001B34B4">
        <w:rPr>
          <w:rFonts w:cs="Times New Roman"/>
          <w:sz w:val="23"/>
          <w:szCs w:val="23"/>
        </w:rPr>
        <w:t>7.</w:t>
      </w:r>
      <w:r w:rsidRPr="001B34B4">
        <w:rPr>
          <w:rFonts w:cs="Times New Roman"/>
          <w:sz w:val="23"/>
          <w:szCs w:val="23"/>
        </w:rPr>
        <w:tab/>
        <w:t xml:space="preserve">Jiang H, Cui Y, Liu X, Ren X, Lin S. Patient-Specific Resection Strategy of Glioblastoma Multiforme: Choice Based on a Preoperative Scoring Scale. Ann Surg Oncol. 2017 Jul;24(7):2006–14. </w:t>
      </w:r>
    </w:p>
    <w:p w14:paraId="45F183EC" w14:textId="77777777" w:rsidR="001B34B4" w:rsidRPr="001B34B4" w:rsidRDefault="001B34B4" w:rsidP="001B34B4">
      <w:pPr>
        <w:pStyle w:val="af5"/>
        <w:jc w:val="both"/>
        <w:rPr>
          <w:rFonts w:cs="Times New Roman"/>
          <w:sz w:val="23"/>
          <w:szCs w:val="23"/>
        </w:rPr>
      </w:pPr>
      <w:r w:rsidRPr="001B34B4">
        <w:rPr>
          <w:rFonts w:cs="Times New Roman"/>
          <w:sz w:val="23"/>
          <w:szCs w:val="23"/>
        </w:rPr>
        <w:t>8.</w:t>
      </w:r>
      <w:r w:rsidRPr="001B34B4">
        <w:rPr>
          <w:rFonts w:cs="Times New Roman"/>
          <w:sz w:val="23"/>
          <w:szCs w:val="23"/>
        </w:rPr>
        <w:tab/>
        <w:t xml:space="preserve">Lorimer CF, Hanna C, Saran F, Chalmers A, Brock J. Challenges to Treating Older Glioblastoma Patients: the Influence of Clinical and Tumour Characteristics on Survival Outcomes. Clinical Oncology. 2017 Nov;29(11):739–47. </w:t>
      </w:r>
    </w:p>
    <w:p w14:paraId="5D5ECE0C" w14:textId="77777777" w:rsidR="001B34B4" w:rsidRPr="001B34B4" w:rsidRDefault="001B34B4" w:rsidP="001B34B4">
      <w:pPr>
        <w:pStyle w:val="af5"/>
        <w:jc w:val="both"/>
        <w:rPr>
          <w:rFonts w:cs="Times New Roman"/>
          <w:sz w:val="23"/>
          <w:szCs w:val="23"/>
        </w:rPr>
      </w:pPr>
      <w:r w:rsidRPr="001B34B4">
        <w:rPr>
          <w:rFonts w:cs="Times New Roman"/>
          <w:sz w:val="23"/>
          <w:szCs w:val="23"/>
        </w:rPr>
        <w:t>9.</w:t>
      </w:r>
      <w:r w:rsidRPr="001B34B4">
        <w:rPr>
          <w:rFonts w:cs="Times New Roman"/>
          <w:sz w:val="23"/>
          <w:szCs w:val="23"/>
        </w:rPr>
        <w:tab/>
        <w:t xml:space="preserve">Shin JY, Kizilbash SH, Robinson S, Uhm JH, Jatoi A. Incidence, Characteristics, and Implications of Seizures in Patients With Glioblastoma. Am J Hosp Palliat Care. 2017 Aug;34(7):650–3. </w:t>
      </w:r>
    </w:p>
    <w:p w14:paraId="19138FFB" w14:textId="77777777" w:rsidR="001B34B4" w:rsidRPr="001B34B4" w:rsidRDefault="001B34B4" w:rsidP="001B34B4">
      <w:pPr>
        <w:pStyle w:val="af5"/>
        <w:jc w:val="both"/>
        <w:rPr>
          <w:rFonts w:cs="Times New Roman"/>
          <w:sz w:val="23"/>
          <w:szCs w:val="23"/>
        </w:rPr>
      </w:pPr>
      <w:r w:rsidRPr="001B34B4">
        <w:rPr>
          <w:rFonts w:cs="Times New Roman"/>
          <w:sz w:val="23"/>
          <w:szCs w:val="23"/>
        </w:rPr>
        <w:t>10.</w:t>
      </w:r>
      <w:r w:rsidRPr="001B34B4">
        <w:rPr>
          <w:rFonts w:cs="Times New Roman"/>
          <w:sz w:val="23"/>
          <w:szCs w:val="23"/>
        </w:rPr>
        <w:tab/>
        <w:t xml:space="preserve">Yu Z, Zhang N, Hameed NUF, Qiu T, Zhuang D, Lu J, et al. The Analysis of Risk Factors and Survival Outcome for Chinese Patients with Epilepsy with High-Grade Glioma. World Neurosurgery. 2019 May;125:e947–57. </w:t>
      </w:r>
    </w:p>
    <w:p w14:paraId="1E87600F" w14:textId="77777777" w:rsidR="001B34B4" w:rsidRPr="001B34B4" w:rsidRDefault="001B34B4" w:rsidP="001B34B4">
      <w:pPr>
        <w:pStyle w:val="af5"/>
        <w:jc w:val="both"/>
        <w:rPr>
          <w:rFonts w:cs="Times New Roman"/>
          <w:sz w:val="23"/>
          <w:szCs w:val="23"/>
        </w:rPr>
      </w:pPr>
      <w:r w:rsidRPr="001B34B4">
        <w:rPr>
          <w:rFonts w:cs="Times New Roman"/>
          <w:sz w:val="23"/>
          <w:szCs w:val="23"/>
        </w:rPr>
        <w:t>11.</w:t>
      </w:r>
      <w:r w:rsidRPr="001B34B4">
        <w:rPr>
          <w:rFonts w:cs="Times New Roman"/>
          <w:sz w:val="23"/>
          <w:szCs w:val="23"/>
        </w:rPr>
        <w:tab/>
        <w:t xml:space="preserve">Li L, Li G, Fang S, Zhang K, Huang R, Wang Y, et al. New-Onset Postoperative Seizures in Patients With Diffuse Gliomas: A Risk Assessment Analysis. Front Neurol. 2021 Jun 18;12:682535. </w:t>
      </w:r>
    </w:p>
    <w:p w14:paraId="4A7CEB0D" w14:textId="77777777" w:rsidR="001B34B4" w:rsidRPr="001B34B4" w:rsidRDefault="001B34B4" w:rsidP="001B34B4">
      <w:pPr>
        <w:pStyle w:val="af5"/>
        <w:jc w:val="both"/>
        <w:rPr>
          <w:rFonts w:cs="Times New Roman"/>
          <w:sz w:val="23"/>
          <w:szCs w:val="23"/>
        </w:rPr>
      </w:pPr>
      <w:r w:rsidRPr="001B34B4">
        <w:rPr>
          <w:rFonts w:cs="Times New Roman"/>
          <w:sz w:val="23"/>
          <w:szCs w:val="23"/>
        </w:rPr>
        <w:t>12.</w:t>
      </w:r>
      <w:r w:rsidRPr="001B34B4">
        <w:rPr>
          <w:rFonts w:cs="Times New Roman"/>
          <w:sz w:val="23"/>
          <w:szCs w:val="23"/>
        </w:rPr>
        <w:tab/>
        <w:t xml:space="preserve">Ge H, Di G, Yan Z, Liu D, Liu Y, Song K, et al. Does epilepsy always indicate worse outcomes? A longitudinal follow-up analysis of 485 glioma patients. World J Surg Onc. 2022 Sep 19;20(1):297. </w:t>
      </w:r>
    </w:p>
    <w:p w14:paraId="35523621" w14:textId="77777777" w:rsidR="001B34B4" w:rsidRPr="001B34B4" w:rsidRDefault="001B34B4" w:rsidP="001B34B4">
      <w:pPr>
        <w:pStyle w:val="af5"/>
        <w:jc w:val="both"/>
        <w:rPr>
          <w:rFonts w:cs="Times New Roman"/>
          <w:sz w:val="23"/>
          <w:szCs w:val="23"/>
        </w:rPr>
      </w:pPr>
      <w:r w:rsidRPr="001B34B4">
        <w:rPr>
          <w:rFonts w:cs="Times New Roman"/>
          <w:sz w:val="23"/>
          <w:szCs w:val="23"/>
        </w:rPr>
        <w:t>13.</w:t>
      </w:r>
      <w:r w:rsidRPr="001B34B4">
        <w:rPr>
          <w:rFonts w:cs="Times New Roman"/>
          <w:sz w:val="23"/>
          <w:szCs w:val="23"/>
        </w:rPr>
        <w:tab/>
        <w:t xml:space="preserve">Marku M, Rasmussen BK, Belmonte F, Hansen S, Andersen EAW, Johansen C, et al. Prediagnosis epilepsy and survival in patients with glioma: a nationwide population-based cohort study from 2009 to 2018. J Neurol. 2022 Feb;269(2):861–72. </w:t>
      </w:r>
    </w:p>
    <w:p w14:paraId="2DF352C0" w14:textId="77777777" w:rsidR="001B34B4" w:rsidRPr="001B34B4" w:rsidRDefault="001B34B4" w:rsidP="001B34B4">
      <w:pPr>
        <w:pStyle w:val="af5"/>
        <w:jc w:val="both"/>
        <w:rPr>
          <w:rFonts w:cs="Times New Roman"/>
          <w:sz w:val="23"/>
          <w:szCs w:val="23"/>
        </w:rPr>
      </w:pPr>
      <w:r w:rsidRPr="001B34B4">
        <w:rPr>
          <w:rFonts w:cs="Times New Roman"/>
          <w:sz w:val="23"/>
          <w:szCs w:val="23"/>
        </w:rPr>
        <w:t>14.</w:t>
      </w:r>
      <w:r w:rsidRPr="001B34B4">
        <w:rPr>
          <w:rFonts w:cs="Times New Roman"/>
          <w:sz w:val="23"/>
          <w:szCs w:val="23"/>
        </w:rPr>
        <w:tab/>
        <w:t xml:space="preserve">Li L, Fang S, Li G, Zhang K, Huang R, Wang Y, et al. Glioma-related epilepsy in patients with diffuse high-grade glioma after the 2016 WHO update: seizure characteristics, risk factors, and clinical outcomes. Journal of Neurosurgery. 2022 Jan 1;136(1):67–75. </w:t>
      </w:r>
    </w:p>
    <w:p w14:paraId="6ABA6384" w14:textId="77777777" w:rsidR="001B34B4" w:rsidRPr="001B34B4" w:rsidRDefault="001B34B4" w:rsidP="001B34B4">
      <w:pPr>
        <w:pStyle w:val="af5"/>
        <w:jc w:val="both"/>
        <w:rPr>
          <w:rFonts w:cs="Times New Roman"/>
          <w:sz w:val="23"/>
          <w:szCs w:val="23"/>
        </w:rPr>
      </w:pPr>
      <w:r w:rsidRPr="001B34B4">
        <w:rPr>
          <w:rFonts w:cs="Times New Roman"/>
          <w:sz w:val="23"/>
          <w:szCs w:val="23"/>
        </w:rPr>
        <w:t>15.</w:t>
      </w:r>
      <w:r w:rsidRPr="001B34B4">
        <w:rPr>
          <w:rFonts w:cs="Times New Roman"/>
          <w:sz w:val="23"/>
          <w:szCs w:val="23"/>
        </w:rPr>
        <w:tab/>
        <w:t xml:space="preserve">Dewan MC, White-Dzuro GA, Brinson PR, Thompson RC, Chambless LB. Perioperative seizure in patients with glioma is associated with longer hospitalization, higher readmission, and decreased overall survival. JNS. 2016 Oct;125(4):1033–41. </w:t>
      </w:r>
    </w:p>
    <w:p w14:paraId="0B88C202" w14:textId="77777777" w:rsidR="001B34B4" w:rsidRPr="001B34B4" w:rsidRDefault="001B34B4" w:rsidP="001B34B4">
      <w:pPr>
        <w:pStyle w:val="af5"/>
        <w:jc w:val="both"/>
        <w:rPr>
          <w:rFonts w:cs="Times New Roman"/>
          <w:sz w:val="23"/>
          <w:szCs w:val="23"/>
        </w:rPr>
      </w:pPr>
      <w:r w:rsidRPr="001B34B4">
        <w:rPr>
          <w:rFonts w:cs="Times New Roman"/>
          <w:sz w:val="23"/>
          <w:szCs w:val="23"/>
        </w:rPr>
        <w:t>16.</w:t>
      </w:r>
      <w:r w:rsidRPr="001B34B4">
        <w:rPr>
          <w:rFonts w:cs="Times New Roman"/>
          <w:sz w:val="23"/>
          <w:szCs w:val="23"/>
        </w:rPr>
        <w:tab/>
        <w:t xml:space="preserve">Climans SA, Brandes AA, Cairncross JG, Ding K, Fay M, Laperriere N, et al. Temozolomide and seizure outcomes in a randomized clinical trial of elderly glioblastoma patients. J Neurooncol. 2020 Aug;149(1):65–71. </w:t>
      </w:r>
    </w:p>
    <w:p w14:paraId="18876E4B" w14:textId="77777777" w:rsidR="001B34B4" w:rsidRPr="001B34B4" w:rsidRDefault="001B34B4" w:rsidP="001B34B4">
      <w:pPr>
        <w:pStyle w:val="af5"/>
        <w:jc w:val="both"/>
        <w:rPr>
          <w:rFonts w:cs="Times New Roman"/>
          <w:sz w:val="23"/>
          <w:szCs w:val="23"/>
        </w:rPr>
      </w:pPr>
      <w:r w:rsidRPr="001B34B4">
        <w:rPr>
          <w:rFonts w:cs="Times New Roman"/>
          <w:sz w:val="23"/>
          <w:szCs w:val="23"/>
        </w:rPr>
        <w:t>17.</w:t>
      </w:r>
      <w:r w:rsidRPr="001B34B4">
        <w:rPr>
          <w:rFonts w:cs="Times New Roman"/>
          <w:sz w:val="23"/>
          <w:szCs w:val="23"/>
        </w:rPr>
        <w:tab/>
        <w:t xml:space="preserve">Marku M, Rasmussen BK, Belmonte F, Andersen EAW, Johansen C, Bidstrup PE. Postoperative epilepsy and survival in glioma patients: a nationwide population-based cohort study from 2009 to 2018. J Neurooncol. 2022 </w:t>
      </w:r>
      <w:r w:rsidRPr="001B34B4">
        <w:rPr>
          <w:rFonts w:cs="Times New Roman"/>
          <w:sz w:val="23"/>
          <w:szCs w:val="23"/>
        </w:rPr>
        <w:lastRenderedPageBreak/>
        <w:t xml:space="preserve">Mar;157(1):71–80. </w:t>
      </w:r>
    </w:p>
    <w:p w14:paraId="1E9EE321" w14:textId="77777777" w:rsidR="001B34B4" w:rsidRPr="001B34B4" w:rsidRDefault="001B34B4" w:rsidP="001B34B4">
      <w:pPr>
        <w:pStyle w:val="af5"/>
        <w:jc w:val="both"/>
        <w:rPr>
          <w:rFonts w:cs="Times New Roman"/>
          <w:sz w:val="23"/>
          <w:szCs w:val="23"/>
        </w:rPr>
      </w:pPr>
      <w:r w:rsidRPr="001B34B4">
        <w:rPr>
          <w:rFonts w:cs="Times New Roman"/>
          <w:sz w:val="23"/>
          <w:szCs w:val="23"/>
        </w:rPr>
        <w:t>18.</w:t>
      </w:r>
      <w:r w:rsidRPr="001B34B4">
        <w:rPr>
          <w:rFonts w:cs="Times New Roman"/>
          <w:sz w:val="23"/>
          <w:szCs w:val="23"/>
        </w:rPr>
        <w:tab/>
        <w:t xml:space="preserve">Fortin D, Macdonald DavidR, Cairncross JG, Stitt L. PCV for Oligodendroglial Tumors: In Search of Prognostic Factors for Response and Survival. Can j neurol sci. 2001 Aug;28(3):215–23. </w:t>
      </w:r>
    </w:p>
    <w:p w14:paraId="507C1F16" w14:textId="77777777" w:rsidR="001B34B4" w:rsidRPr="001B34B4" w:rsidRDefault="001B34B4" w:rsidP="001B34B4">
      <w:pPr>
        <w:pStyle w:val="af5"/>
        <w:jc w:val="both"/>
        <w:rPr>
          <w:rFonts w:cs="Times New Roman"/>
          <w:sz w:val="23"/>
          <w:szCs w:val="23"/>
        </w:rPr>
      </w:pPr>
      <w:r w:rsidRPr="001B34B4">
        <w:rPr>
          <w:rFonts w:cs="Times New Roman"/>
          <w:sz w:val="23"/>
          <w:szCs w:val="23"/>
        </w:rPr>
        <w:t>19.</w:t>
      </w:r>
      <w:r w:rsidRPr="001B34B4">
        <w:rPr>
          <w:rFonts w:cs="Times New Roman"/>
          <w:sz w:val="23"/>
          <w:szCs w:val="23"/>
        </w:rPr>
        <w:tab/>
        <w:t xml:space="preserve">Ozyigit G, Onal C, Gurkaynak M, Soylemezoglu F, Zorlu F. Postoperative radiotherapy and chemotherapy in the management of oligodendroglioma: single institutional review of 88 patients. J Neurooncol. 2005 Nov;75(2):189–93. </w:t>
      </w:r>
    </w:p>
    <w:p w14:paraId="44C16E60" w14:textId="77777777" w:rsidR="001B34B4" w:rsidRPr="001B34B4" w:rsidRDefault="001B34B4" w:rsidP="001B34B4">
      <w:pPr>
        <w:pStyle w:val="af5"/>
        <w:jc w:val="both"/>
        <w:rPr>
          <w:rFonts w:cs="Times New Roman"/>
          <w:sz w:val="23"/>
          <w:szCs w:val="23"/>
        </w:rPr>
      </w:pPr>
      <w:r w:rsidRPr="001B34B4">
        <w:rPr>
          <w:rFonts w:cs="Times New Roman"/>
          <w:sz w:val="23"/>
          <w:szCs w:val="23"/>
        </w:rPr>
        <w:t>20.</w:t>
      </w:r>
      <w:r w:rsidRPr="001B34B4">
        <w:rPr>
          <w:rFonts w:cs="Times New Roman"/>
          <w:sz w:val="23"/>
          <w:szCs w:val="23"/>
        </w:rPr>
        <w:tab/>
        <w:t xml:space="preserve">Riva M, Salmaggi A, Marchioni E, Silvani A, Tomei G, Lorusso L, et al. Tumour-associated epilepsy: clinical impact and the role of referring centres in a cohort of glioblastoma patients. A multicentre study from the Lombardia Neurooncology Group. Neurol Sci. 2006 Nov;27(5):345–51. </w:t>
      </w:r>
    </w:p>
    <w:p w14:paraId="4BB43B7B" w14:textId="77777777" w:rsidR="001B34B4" w:rsidRPr="001B34B4" w:rsidRDefault="001B34B4" w:rsidP="001B34B4">
      <w:pPr>
        <w:pStyle w:val="af5"/>
        <w:jc w:val="both"/>
        <w:rPr>
          <w:rFonts w:cs="Times New Roman"/>
          <w:sz w:val="23"/>
          <w:szCs w:val="23"/>
        </w:rPr>
      </w:pPr>
      <w:r w:rsidRPr="001B34B4">
        <w:rPr>
          <w:rFonts w:cs="Times New Roman"/>
          <w:sz w:val="23"/>
          <w:szCs w:val="23"/>
        </w:rPr>
        <w:t>21.</w:t>
      </w:r>
      <w:r w:rsidRPr="001B34B4">
        <w:rPr>
          <w:rFonts w:cs="Times New Roman"/>
          <w:sz w:val="23"/>
          <w:szCs w:val="23"/>
        </w:rPr>
        <w:tab/>
        <w:t xml:space="preserve">Yang L song, Huang F ping, Zheng K, Zhang H shi, Zhou X, Bao X hui, et al. Factors affecting prognosis of patients with intracranial anaplastic oligodendrogliomas: a single institutional review of 70 patients. J Neurooncol. 2010 Oct;100(1):113–20. </w:t>
      </w:r>
    </w:p>
    <w:p w14:paraId="5C5AB905" w14:textId="77777777" w:rsidR="001B34B4" w:rsidRPr="001B34B4" w:rsidRDefault="001B34B4" w:rsidP="001B34B4">
      <w:pPr>
        <w:pStyle w:val="af5"/>
        <w:jc w:val="both"/>
        <w:rPr>
          <w:rFonts w:cs="Times New Roman"/>
          <w:sz w:val="23"/>
          <w:szCs w:val="23"/>
        </w:rPr>
      </w:pPr>
      <w:r w:rsidRPr="001B34B4">
        <w:rPr>
          <w:rFonts w:cs="Times New Roman"/>
          <w:sz w:val="23"/>
          <w:szCs w:val="23"/>
        </w:rPr>
        <w:t>22.</w:t>
      </w:r>
      <w:r w:rsidRPr="001B34B4">
        <w:rPr>
          <w:rFonts w:cs="Times New Roman"/>
          <w:sz w:val="23"/>
          <w:szCs w:val="23"/>
        </w:rPr>
        <w:tab/>
        <w:t xml:space="preserve">Rosati A, Poliani PL, Todeschini A, Cominelli M, Medicina D, Cenzato M, et al. Glutamine synthetase expression as a valuable marker of epilepsy and longer survival in newly diagnosed glioblastoma multiforme. Neuro-Oncology. 2013 May 1;15(5):618–25. </w:t>
      </w:r>
    </w:p>
    <w:p w14:paraId="1F78DEC4" w14:textId="77777777" w:rsidR="001B34B4" w:rsidRPr="001B34B4" w:rsidRDefault="001B34B4" w:rsidP="001B34B4">
      <w:pPr>
        <w:pStyle w:val="af5"/>
        <w:jc w:val="both"/>
        <w:rPr>
          <w:rFonts w:cs="Times New Roman"/>
          <w:sz w:val="23"/>
          <w:szCs w:val="23"/>
        </w:rPr>
      </w:pPr>
      <w:r w:rsidRPr="001B34B4">
        <w:rPr>
          <w:rFonts w:cs="Times New Roman"/>
          <w:sz w:val="23"/>
          <w:szCs w:val="23"/>
        </w:rPr>
        <w:t>23.</w:t>
      </w:r>
      <w:r w:rsidRPr="001B34B4">
        <w:rPr>
          <w:rFonts w:cs="Times New Roman"/>
          <w:sz w:val="23"/>
          <w:szCs w:val="23"/>
        </w:rPr>
        <w:tab/>
        <w:t xml:space="preserve">Rigamonti A, Imbesi F, Silvani A, Grimod G, Prone V, Gaviani P, et al. Pattern of care and outcome in elderly patients with glioblastoma: Data in 151 patients from 3 Lombardia Hospitals. Journal of the Neurological Sciences. 2017 Jul;378:3–8. </w:t>
      </w:r>
    </w:p>
    <w:p w14:paraId="7B06D8E5" w14:textId="77777777" w:rsidR="001B34B4" w:rsidRPr="001B34B4" w:rsidRDefault="001B34B4" w:rsidP="001B34B4">
      <w:pPr>
        <w:pStyle w:val="af5"/>
        <w:jc w:val="both"/>
        <w:rPr>
          <w:rFonts w:cs="Times New Roman"/>
          <w:sz w:val="23"/>
          <w:szCs w:val="23"/>
        </w:rPr>
      </w:pPr>
      <w:r w:rsidRPr="001B34B4">
        <w:rPr>
          <w:rFonts w:cs="Times New Roman"/>
          <w:sz w:val="23"/>
          <w:szCs w:val="23"/>
        </w:rPr>
        <w:t>24.</w:t>
      </w:r>
      <w:r w:rsidRPr="001B34B4">
        <w:rPr>
          <w:rFonts w:cs="Times New Roman"/>
          <w:sz w:val="23"/>
          <w:szCs w:val="23"/>
        </w:rPr>
        <w:tab/>
        <w:t xml:space="preserve">Dobran M, Nasi D, Chiriatti S, Gladi M, Somma LD, Iacoangeli M, et al. Prognostic Factors in Glioblastoma: Is There a Role for Epilepsy? Neurol Med Chir(Tokyo). 2018;58(3):110–5. </w:t>
      </w:r>
    </w:p>
    <w:p w14:paraId="50BBC546" w14:textId="77777777" w:rsidR="001B34B4" w:rsidRPr="001B34B4" w:rsidRDefault="001B34B4" w:rsidP="001B34B4">
      <w:pPr>
        <w:pStyle w:val="af5"/>
        <w:jc w:val="both"/>
        <w:rPr>
          <w:rFonts w:cs="Times New Roman"/>
          <w:sz w:val="23"/>
          <w:szCs w:val="23"/>
        </w:rPr>
      </w:pPr>
      <w:r w:rsidRPr="001B34B4">
        <w:rPr>
          <w:rFonts w:cs="Times New Roman"/>
          <w:sz w:val="23"/>
          <w:szCs w:val="23"/>
        </w:rPr>
        <w:t>25.</w:t>
      </w:r>
      <w:r w:rsidRPr="001B34B4">
        <w:rPr>
          <w:rFonts w:cs="Times New Roman"/>
          <w:sz w:val="23"/>
          <w:szCs w:val="23"/>
        </w:rPr>
        <w:tab/>
        <w:t xml:space="preserve">Henker C, Kriesen T, Scherer M, Glass Ä, Von Deimling A, Bendszus M, et al. Association Between Tumor Compartment Volumes, the Incidence of Pretreatment Seizures, and Statin-Mediated Protective Effects in Glioblastoma. Neurosurg. 2019 Oct;85(4):E722–9. </w:t>
      </w:r>
    </w:p>
    <w:p w14:paraId="4E8BE07A" w14:textId="77777777" w:rsidR="001B34B4" w:rsidRPr="001B34B4" w:rsidRDefault="001B34B4" w:rsidP="001B34B4">
      <w:pPr>
        <w:pStyle w:val="af5"/>
        <w:jc w:val="both"/>
        <w:rPr>
          <w:rFonts w:cs="Times New Roman"/>
          <w:sz w:val="23"/>
          <w:szCs w:val="23"/>
        </w:rPr>
      </w:pPr>
      <w:r w:rsidRPr="001B34B4">
        <w:rPr>
          <w:rFonts w:cs="Times New Roman"/>
          <w:sz w:val="23"/>
          <w:szCs w:val="23"/>
        </w:rPr>
        <w:t>26.</w:t>
      </w:r>
      <w:r w:rsidRPr="001B34B4">
        <w:rPr>
          <w:rFonts w:cs="Times New Roman"/>
          <w:sz w:val="23"/>
          <w:szCs w:val="23"/>
        </w:rPr>
        <w:tab/>
        <w:t>Mrowczynski OD, Yang AL, Liao J, Rizk E. The Potential of Glioblastoma Patient Symptoms to Diagnose and Predict Survival. Cureus [Internet]. 2021 Jul 27 [cited 2024 Jan 17]; Available from: https://www.cureus.com/articles/61330-the-potential-of-glioblastoma-patient-symptoms-to-diagnose-and-predict-survival</w:t>
      </w:r>
    </w:p>
    <w:p w14:paraId="672F7E30" w14:textId="77777777" w:rsidR="001B34B4" w:rsidRPr="001B34B4" w:rsidRDefault="001B34B4" w:rsidP="001B34B4">
      <w:pPr>
        <w:pStyle w:val="af5"/>
        <w:jc w:val="both"/>
        <w:rPr>
          <w:rFonts w:cs="Times New Roman"/>
          <w:sz w:val="23"/>
          <w:szCs w:val="23"/>
        </w:rPr>
      </w:pPr>
      <w:r w:rsidRPr="001B34B4">
        <w:rPr>
          <w:rFonts w:cs="Times New Roman"/>
          <w:sz w:val="23"/>
          <w:szCs w:val="23"/>
        </w:rPr>
        <w:t>27.</w:t>
      </w:r>
      <w:r w:rsidRPr="001B34B4">
        <w:rPr>
          <w:rFonts w:cs="Times New Roman"/>
          <w:sz w:val="23"/>
          <w:szCs w:val="23"/>
        </w:rPr>
        <w:tab/>
        <w:t xml:space="preserve">Wei R, Zhao C, Li J, Yang F, Xue Y, Wei X. Online calculator to predict early mortality in patient with surgically treated recurrent lower-grade glioma. BMC Cancer. 2022 Dec;22(1):114. </w:t>
      </w:r>
    </w:p>
    <w:p w14:paraId="2408D76C" w14:textId="77777777" w:rsidR="001B34B4" w:rsidRPr="001B34B4" w:rsidRDefault="001B34B4" w:rsidP="001B34B4">
      <w:pPr>
        <w:pStyle w:val="af5"/>
        <w:jc w:val="both"/>
        <w:rPr>
          <w:rFonts w:cs="Times New Roman"/>
          <w:sz w:val="23"/>
          <w:szCs w:val="23"/>
        </w:rPr>
      </w:pPr>
      <w:r w:rsidRPr="001B34B4">
        <w:rPr>
          <w:rFonts w:cs="Times New Roman"/>
          <w:sz w:val="23"/>
          <w:szCs w:val="23"/>
        </w:rPr>
        <w:t>28.</w:t>
      </w:r>
      <w:r w:rsidRPr="001B34B4">
        <w:rPr>
          <w:rFonts w:cs="Times New Roman"/>
          <w:sz w:val="23"/>
          <w:szCs w:val="23"/>
        </w:rPr>
        <w:tab/>
        <w:t xml:space="preserve">Pesce A, Armocida D, Paglia F, Palmieri M, Frati A, D’Andrea G, et al. IDH Wild-type Glioblastoma Presenting with Seizure: Clinical Specificity, and Oncologic and Surgical Outcomes. J Neurol Surg A Cent Eur Neurosurg. 2022 Jul;83(04):351–60. </w:t>
      </w:r>
    </w:p>
    <w:p w14:paraId="023D17DD" w14:textId="77777777" w:rsidR="001B34B4" w:rsidRPr="001B34B4" w:rsidRDefault="001B34B4" w:rsidP="001B34B4">
      <w:pPr>
        <w:pStyle w:val="af5"/>
        <w:jc w:val="both"/>
        <w:rPr>
          <w:rFonts w:cs="Times New Roman"/>
          <w:sz w:val="23"/>
          <w:szCs w:val="23"/>
        </w:rPr>
      </w:pPr>
      <w:r w:rsidRPr="001B34B4">
        <w:rPr>
          <w:rFonts w:cs="Times New Roman"/>
          <w:sz w:val="23"/>
          <w:szCs w:val="23"/>
        </w:rPr>
        <w:t>29.</w:t>
      </w:r>
      <w:r w:rsidRPr="001B34B4">
        <w:rPr>
          <w:rFonts w:cs="Times New Roman"/>
          <w:sz w:val="23"/>
          <w:szCs w:val="23"/>
        </w:rPr>
        <w:tab/>
        <w:t xml:space="preserve">Kumar TS, Afnan WM, Chan CY, Audrey C, Fong SL, Rajandram R, et al. Impact of seizures and antiseizure medication on survival in patients with glioma. J Neurooncol. 2022 Sep;159(3):657–64. </w:t>
      </w:r>
    </w:p>
    <w:p w14:paraId="7CC933A7" w14:textId="77777777" w:rsidR="001B34B4" w:rsidRPr="001B34B4" w:rsidRDefault="001B34B4" w:rsidP="001B34B4">
      <w:pPr>
        <w:pStyle w:val="af5"/>
        <w:jc w:val="both"/>
        <w:rPr>
          <w:rFonts w:cs="Times New Roman"/>
          <w:sz w:val="23"/>
          <w:szCs w:val="23"/>
        </w:rPr>
      </w:pPr>
      <w:r w:rsidRPr="001B34B4">
        <w:rPr>
          <w:rFonts w:cs="Times New Roman"/>
          <w:sz w:val="23"/>
          <w:szCs w:val="23"/>
        </w:rPr>
        <w:t>30.</w:t>
      </w:r>
      <w:r w:rsidRPr="001B34B4">
        <w:rPr>
          <w:rFonts w:cs="Times New Roman"/>
          <w:sz w:val="23"/>
          <w:szCs w:val="23"/>
        </w:rPr>
        <w:tab/>
        <w:t xml:space="preserve">Arienti VM, Botturi A, Boiardi A, Broggi G, Collice M, Fariselli L, et al. Adult brain low-grade astrocytomas: survival after surgery and radiotherapy. Neurological Sciences. 2001 Jun 1;22(3):233–8. </w:t>
      </w:r>
    </w:p>
    <w:p w14:paraId="4DCF7A9E" w14:textId="77777777" w:rsidR="001B34B4" w:rsidRPr="001B34B4" w:rsidRDefault="001B34B4" w:rsidP="001B34B4">
      <w:pPr>
        <w:pStyle w:val="af5"/>
        <w:jc w:val="both"/>
        <w:rPr>
          <w:rFonts w:cs="Times New Roman"/>
          <w:sz w:val="23"/>
          <w:szCs w:val="23"/>
        </w:rPr>
      </w:pPr>
      <w:r w:rsidRPr="001B34B4">
        <w:rPr>
          <w:rFonts w:cs="Times New Roman"/>
          <w:sz w:val="23"/>
          <w:szCs w:val="23"/>
        </w:rPr>
        <w:t>31.</w:t>
      </w:r>
      <w:r w:rsidRPr="001B34B4">
        <w:rPr>
          <w:rFonts w:cs="Times New Roman"/>
          <w:sz w:val="23"/>
          <w:szCs w:val="23"/>
        </w:rPr>
        <w:tab/>
        <w:t xml:space="preserve">Ahmadipour Y, Rauschenbach L, Santos A, Darkwah Oppong M, Lazaridis L, Quesada CM, et al. Preoperative and early postoperative seizures in patients with glioblastoma—two sides of the same coin? Neuro-Oncology Advances. 2021 Jan 1;3(1):vdaa158. </w:t>
      </w:r>
    </w:p>
    <w:p w14:paraId="50189D6A" w14:textId="2B9FCDDA" w:rsidR="00AE438E" w:rsidRPr="00A65C58" w:rsidRDefault="001B34B4" w:rsidP="001B34B4">
      <w:pPr>
        <w:jc w:val="center"/>
        <w:rPr>
          <w:rFonts w:eastAsia="MS Mincho"/>
        </w:rPr>
      </w:pPr>
      <w:r w:rsidRPr="00730E0D">
        <w:rPr>
          <w:rFonts w:cs="Times New Roman"/>
          <w:sz w:val="24"/>
          <w:szCs w:val="24"/>
        </w:rPr>
        <w:fldChar w:fldCharType="end"/>
      </w:r>
    </w:p>
    <w:sectPr w:rsidR="00AE438E" w:rsidRPr="00A65C58" w:rsidSect="00A767B8">
      <w:type w:val="continuous"/>
      <w:pgSz w:w="11906" w:h="16838" w:code="9"/>
      <w:pgMar w:top="1418" w:right="720" w:bottom="1077" w:left="720" w:header="1021" w:footer="340" w:gutter="0"/>
      <w:cols w:space="425"/>
      <w:titlePg/>
      <w:docGrid w:type="lines"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3672B" w14:textId="77777777" w:rsidR="00AE5367" w:rsidRDefault="00AE5367" w:rsidP="00A767B8">
      <w:r>
        <w:separator/>
      </w:r>
    </w:p>
  </w:endnote>
  <w:endnote w:type="continuationSeparator" w:id="0">
    <w:p w14:paraId="38FA3B49" w14:textId="77777777" w:rsidR="00AE5367" w:rsidRDefault="00AE5367" w:rsidP="00A7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Janson Text LT">
    <w:altName w:val="宋体"/>
    <w:charset w:val="86"/>
    <w:family w:val="roma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83980" w14:textId="77777777" w:rsidR="00AE5367" w:rsidRDefault="00AE5367" w:rsidP="00A767B8">
      <w:r>
        <w:separator/>
      </w:r>
    </w:p>
  </w:footnote>
  <w:footnote w:type="continuationSeparator" w:id="0">
    <w:p w14:paraId="020B451D" w14:textId="77777777" w:rsidR="00AE5367" w:rsidRDefault="00AE5367" w:rsidP="00A767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30"/>
  <w:drawingGridVerticalSpacing w:val="177"/>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25"/>
    <w:rsid w:val="000024AA"/>
    <w:rsid w:val="00002BE0"/>
    <w:rsid w:val="000147C4"/>
    <w:rsid w:val="00022D7F"/>
    <w:rsid w:val="00030B2D"/>
    <w:rsid w:val="00052EC3"/>
    <w:rsid w:val="00055F2F"/>
    <w:rsid w:val="00062C2F"/>
    <w:rsid w:val="000663CB"/>
    <w:rsid w:val="0008281F"/>
    <w:rsid w:val="000915DC"/>
    <w:rsid w:val="00091F7D"/>
    <w:rsid w:val="000B1DC1"/>
    <w:rsid w:val="000B66D2"/>
    <w:rsid w:val="000C659D"/>
    <w:rsid w:val="000D2B6F"/>
    <w:rsid w:val="000F1289"/>
    <w:rsid w:val="000F4873"/>
    <w:rsid w:val="00100EEA"/>
    <w:rsid w:val="00111A7A"/>
    <w:rsid w:val="00126B7F"/>
    <w:rsid w:val="00126E48"/>
    <w:rsid w:val="0015798E"/>
    <w:rsid w:val="00157B5C"/>
    <w:rsid w:val="00170AD2"/>
    <w:rsid w:val="00172A0A"/>
    <w:rsid w:val="0017398B"/>
    <w:rsid w:val="00176A35"/>
    <w:rsid w:val="001825B0"/>
    <w:rsid w:val="00183123"/>
    <w:rsid w:val="001843C9"/>
    <w:rsid w:val="00194221"/>
    <w:rsid w:val="001A24FB"/>
    <w:rsid w:val="001A4FDA"/>
    <w:rsid w:val="001B0571"/>
    <w:rsid w:val="001B21AB"/>
    <w:rsid w:val="001B34B4"/>
    <w:rsid w:val="001B3D9A"/>
    <w:rsid w:val="001C2110"/>
    <w:rsid w:val="001D30D6"/>
    <w:rsid w:val="001F5744"/>
    <w:rsid w:val="00204358"/>
    <w:rsid w:val="00220787"/>
    <w:rsid w:val="00222CBD"/>
    <w:rsid w:val="0023014C"/>
    <w:rsid w:val="0023049B"/>
    <w:rsid w:val="00245F1A"/>
    <w:rsid w:val="00251199"/>
    <w:rsid w:val="002700A1"/>
    <w:rsid w:val="00271CF4"/>
    <w:rsid w:val="002738AC"/>
    <w:rsid w:val="00275249"/>
    <w:rsid w:val="0027633C"/>
    <w:rsid w:val="0028661C"/>
    <w:rsid w:val="00286D37"/>
    <w:rsid w:val="002A0E06"/>
    <w:rsid w:val="002B6E8B"/>
    <w:rsid w:val="002C03BC"/>
    <w:rsid w:val="002C355F"/>
    <w:rsid w:val="002C4DE4"/>
    <w:rsid w:val="002D7517"/>
    <w:rsid w:val="00310AC1"/>
    <w:rsid w:val="00330873"/>
    <w:rsid w:val="00333299"/>
    <w:rsid w:val="003476C9"/>
    <w:rsid w:val="003742C0"/>
    <w:rsid w:val="00376F36"/>
    <w:rsid w:val="003972CA"/>
    <w:rsid w:val="003A3BBA"/>
    <w:rsid w:val="003A4569"/>
    <w:rsid w:val="003B5650"/>
    <w:rsid w:val="003E5C07"/>
    <w:rsid w:val="00402B0F"/>
    <w:rsid w:val="0040337E"/>
    <w:rsid w:val="004170AA"/>
    <w:rsid w:val="00417144"/>
    <w:rsid w:val="004206B2"/>
    <w:rsid w:val="00427F4B"/>
    <w:rsid w:val="0044765D"/>
    <w:rsid w:val="0045275D"/>
    <w:rsid w:val="004650D2"/>
    <w:rsid w:val="004723A0"/>
    <w:rsid w:val="0048147D"/>
    <w:rsid w:val="00484125"/>
    <w:rsid w:val="00492E90"/>
    <w:rsid w:val="00497E4C"/>
    <w:rsid w:val="004A005C"/>
    <w:rsid w:val="004C38E9"/>
    <w:rsid w:val="004E11BA"/>
    <w:rsid w:val="004E6301"/>
    <w:rsid w:val="004F0D8D"/>
    <w:rsid w:val="004F1FDF"/>
    <w:rsid w:val="0050034F"/>
    <w:rsid w:val="00527ABD"/>
    <w:rsid w:val="00531A7C"/>
    <w:rsid w:val="00580567"/>
    <w:rsid w:val="0059502C"/>
    <w:rsid w:val="005A4526"/>
    <w:rsid w:val="005B1242"/>
    <w:rsid w:val="005B743B"/>
    <w:rsid w:val="005F154A"/>
    <w:rsid w:val="005F7DC6"/>
    <w:rsid w:val="005F7F38"/>
    <w:rsid w:val="00627ABA"/>
    <w:rsid w:val="00632615"/>
    <w:rsid w:val="00633615"/>
    <w:rsid w:val="00642EDA"/>
    <w:rsid w:val="00644AF1"/>
    <w:rsid w:val="00653D6A"/>
    <w:rsid w:val="00656283"/>
    <w:rsid w:val="00657A8B"/>
    <w:rsid w:val="006600A9"/>
    <w:rsid w:val="00660A06"/>
    <w:rsid w:val="00664BFB"/>
    <w:rsid w:val="006667AA"/>
    <w:rsid w:val="00666C77"/>
    <w:rsid w:val="00680970"/>
    <w:rsid w:val="0068172F"/>
    <w:rsid w:val="006B318D"/>
    <w:rsid w:val="006B3F1A"/>
    <w:rsid w:val="006D01F6"/>
    <w:rsid w:val="006D6A99"/>
    <w:rsid w:val="006E0FB4"/>
    <w:rsid w:val="006E7055"/>
    <w:rsid w:val="006F0DB1"/>
    <w:rsid w:val="0070203B"/>
    <w:rsid w:val="00704B92"/>
    <w:rsid w:val="0073705F"/>
    <w:rsid w:val="007428C0"/>
    <w:rsid w:val="007522D4"/>
    <w:rsid w:val="007541C6"/>
    <w:rsid w:val="0075737D"/>
    <w:rsid w:val="00762E30"/>
    <w:rsid w:val="007655F4"/>
    <w:rsid w:val="00780B71"/>
    <w:rsid w:val="007A734E"/>
    <w:rsid w:val="007B42EC"/>
    <w:rsid w:val="0082260E"/>
    <w:rsid w:val="00823912"/>
    <w:rsid w:val="008321D6"/>
    <w:rsid w:val="008330F0"/>
    <w:rsid w:val="008661D5"/>
    <w:rsid w:val="00870E08"/>
    <w:rsid w:val="00880166"/>
    <w:rsid w:val="0089058A"/>
    <w:rsid w:val="00890986"/>
    <w:rsid w:val="008A10DD"/>
    <w:rsid w:val="008A2755"/>
    <w:rsid w:val="008A457F"/>
    <w:rsid w:val="008A6AFF"/>
    <w:rsid w:val="008B37E0"/>
    <w:rsid w:val="008C3B25"/>
    <w:rsid w:val="008E30A8"/>
    <w:rsid w:val="008E509C"/>
    <w:rsid w:val="009143C7"/>
    <w:rsid w:val="0092004E"/>
    <w:rsid w:val="009207A6"/>
    <w:rsid w:val="00927430"/>
    <w:rsid w:val="0093175E"/>
    <w:rsid w:val="009340AC"/>
    <w:rsid w:val="00934709"/>
    <w:rsid w:val="009364FE"/>
    <w:rsid w:val="0095739C"/>
    <w:rsid w:val="00961A40"/>
    <w:rsid w:val="009648A4"/>
    <w:rsid w:val="00984D68"/>
    <w:rsid w:val="009869B7"/>
    <w:rsid w:val="00990136"/>
    <w:rsid w:val="009A595B"/>
    <w:rsid w:val="009C7833"/>
    <w:rsid w:val="009D4703"/>
    <w:rsid w:val="009E1A28"/>
    <w:rsid w:val="009E4743"/>
    <w:rsid w:val="009F70A6"/>
    <w:rsid w:val="00A020D3"/>
    <w:rsid w:val="00A02F3D"/>
    <w:rsid w:val="00A074DB"/>
    <w:rsid w:val="00A17EF0"/>
    <w:rsid w:val="00A268D5"/>
    <w:rsid w:val="00A26BE7"/>
    <w:rsid w:val="00A27B0D"/>
    <w:rsid w:val="00A43FDC"/>
    <w:rsid w:val="00A562D0"/>
    <w:rsid w:val="00A6244E"/>
    <w:rsid w:val="00A62F6F"/>
    <w:rsid w:val="00A65473"/>
    <w:rsid w:val="00A65C58"/>
    <w:rsid w:val="00A72273"/>
    <w:rsid w:val="00A767B8"/>
    <w:rsid w:val="00A775BC"/>
    <w:rsid w:val="00A86F07"/>
    <w:rsid w:val="00A95601"/>
    <w:rsid w:val="00AA18F8"/>
    <w:rsid w:val="00AD330F"/>
    <w:rsid w:val="00AD462F"/>
    <w:rsid w:val="00AE0F19"/>
    <w:rsid w:val="00AE3DBA"/>
    <w:rsid w:val="00AE438E"/>
    <w:rsid w:val="00AE48E5"/>
    <w:rsid w:val="00AE5367"/>
    <w:rsid w:val="00AF1A9D"/>
    <w:rsid w:val="00B05F4D"/>
    <w:rsid w:val="00B12AAC"/>
    <w:rsid w:val="00B2446B"/>
    <w:rsid w:val="00B2573C"/>
    <w:rsid w:val="00B344D5"/>
    <w:rsid w:val="00B3575E"/>
    <w:rsid w:val="00B41790"/>
    <w:rsid w:val="00B449DB"/>
    <w:rsid w:val="00B50CF2"/>
    <w:rsid w:val="00B5428F"/>
    <w:rsid w:val="00B635F9"/>
    <w:rsid w:val="00B6464C"/>
    <w:rsid w:val="00B83D22"/>
    <w:rsid w:val="00BA790C"/>
    <w:rsid w:val="00BC26E8"/>
    <w:rsid w:val="00BC6E51"/>
    <w:rsid w:val="00BD06E8"/>
    <w:rsid w:val="00BD4630"/>
    <w:rsid w:val="00BF2A61"/>
    <w:rsid w:val="00BF5632"/>
    <w:rsid w:val="00BF6D77"/>
    <w:rsid w:val="00C0448B"/>
    <w:rsid w:val="00C1227C"/>
    <w:rsid w:val="00C50C9E"/>
    <w:rsid w:val="00C6483B"/>
    <w:rsid w:val="00C73AB5"/>
    <w:rsid w:val="00C74636"/>
    <w:rsid w:val="00C76229"/>
    <w:rsid w:val="00C964A9"/>
    <w:rsid w:val="00CA433B"/>
    <w:rsid w:val="00CA6E0E"/>
    <w:rsid w:val="00CB772E"/>
    <w:rsid w:val="00CD267B"/>
    <w:rsid w:val="00CD5E81"/>
    <w:rsid w:val="00CE3FC4"/>
    <w:rsid w:val="00CE5C55"/>
    <w:rsid w:val="00D01C20"/>
    <w:rsid w:val="00D20A50"/>
    <w:rsid w:val="00D2345A"/>
    <w:rsid w:val="00D47B5F"/>
    <w:rsid w:val="00D61562"/>
    <w:rsid w:val="00D73E4F"/>
    <w:rsid w:val="00D81727"/>
    <w:rsid w:val="00D973E5"/>
    <w:rsid w:val="00DB0779"/>
    <w:rsid w:val="00DC41E5"/>
    <w:rsid w:val="00DC4D3E"/>
    <w:rsid w:val="00DC6FC2"/>
    <w:rsid w:val="00DD6735"/>
    <w:rsid w:val="00DE130D"/>
    <w:rsid w:val="00DE4695"/>
    <w:rsid w:val="00DF2941"/>
    <w:rsid w:val="00E116A7"/>
    <w:rsid w:val="00E25A18"/>
    <w:rsid w:val="00E31BC7"/>
    <w:rsid w:val="00E561C6"/>
    <w:rsid w:val="00E5750A"/>
    <w:rsid w:val="00E61674"/>
    <w:rsid w:val="00E66F94"/>
    <w:rsid w:val="00E726D8"/>
    <w:rsid w:val="00EB5183"/>
    <w:rsid w:val="00EB52F3"/>
    <w:rsid w:val="00EB6CC5"/>
    <w:rsid w:val="00EC122B"/>
    <w:rsid w:val="00EC5664"/>
    <w:rsid w:val="00ED235D"/>
    <w:rsid w:val="00EF75CA"/>
    <w:rsid w:val="00F0245E"/>
    <w:rsid w:val="00F0388B"/>
    <w:rsid w:val="00F03907"/>
    <w:rsid w:val="00F03C9D"/>
    <w:rsid w:val="00F109BA"/>
    <w:rsid w:val="00F22204"/>
    <w:rsid w:val="00F245F9"/>
    <w:rsid w:val="00F25B08"/>
    <w:rsid w:val="00F25C76"/>
    <w:rsid w:val="00F27841"/>
    <w:rsid w:val="00F3038B"/>
    <w:rsid w:val="00F44416"/>
    <w:rsid w:val="00F514A1"/>
    <w:rsid w:val="00F63B72"/>
    <w:rsid w:val="00F64ABE"/>
    <w:rsid w:val="00F65846"/>
    <w:rsid w:val="00F66F8D"/>
    <w:rsid w:val="00F71F30"/>
    <w:rsid w:val="00F7321E"/>
    <w:rsid w:val="00F84E25"/>
    <w:rsid w:val="00F95346"/>
    <w:rsid w:val="00F979B3"/>
    <w:rsid w:val="00FA2C51"/>
    <w:rsid w:val="00FB27F4"/>
    <w:rsid w:val="00FB7AC5"/>
    <w:rsid w:val="00FD524C"/>
    <w:rsid w:val="00FE7DE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3E9BC"/>
  <w15:chartTrackingRefBased/>
  <w15:docId w15:val="{5DACA266-A4D9-415A-913D-FB719CD77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zh-CN"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B1DC1"/>
    <w:pPr>
      <w:widowControl w:val="0"/>
      <w:spacing w:after="0" w:line="240" w:lineRule="auto"/>
      <w:jc w:val="left"/>
    </w:pPr>
    <w:rPr>
      <w:rFonts w:ascii="Times New Roman" w:hAnsi="Times New Roman"/>
      <w:sz w:val="26"/>
      <w:szCs w:val="22"/>
      <w:lang w:eastAsia="ja-JP"/>
      <w14:ligatures w14:val="standardContextual"/>
    </w:rPr>
  </w:style>
  <w:style w:type="paragraph" w:styleId="1">
    <w:name w:val="heading 1"/>
    <w:basedOn w:val="a"/>
    <w:next w:val="a"/>
    <w:link w:val="10"/>
    <w:rsid w:val="00EC122B"/>
    <w:pPr>
      <w:keepNext/>
      <w:keepLines/>
      <w:outlineLvl w:val="0"/>
    </w:pPr>
    <w:rPr>
      <w:b/>
      <w:kern w:val="44"/>
    </w:rPr>
  </w:style>
  <w:style w:type="paragraph" w:styleId="2">
    <w:name w:val="heading 2"/>
    <w:basedOn w:val="a"/>
    <w:next w:val="a"/>
    <w:link w:val="20"/>
    <w:unhideWhenUsed/>
    <w:rsid w:val="00A43FDC"/>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2446B"/>
    <w:pPr>
      <w:spacing w:before="100" w:beforeAutospacing="1" w:after="100" w:afterAutospacing="1"/>
    </w:pPr>
    <w:rPr>
      <w:iCs/>
    </w:rPr>
  </w:style>
  <w:style w:type="paragraph" w:customStyle="1" w:styleId="a4">
    <w:name w:val="摘要"/>
    <w:basedOn w:val="a"/>
    <w:rsid w:val="006667AA"/>
  </w:style>
  <w:style w:type="paragraph" w:styleId="a5">
    <w:name w:val="toa heading"/>
    <w:basedOn w:val="a"/>
    <w:next w:val="a"/>
    <w:uiPriority w:val="99"/>
    <w:semiHidden/>
    <w:unhideWhenUsed/>
    <w:rsid w:val="006667AA"/>
    <w:rPr>
      <w:rFonts w:asciiTheme="majorHAnsi" w:eastAsiaTheme="majorEastAsia" w:hAnsiTheme="majorHAnsi" w:cstheme="majorBidi"/>
    </w:rPr>
  </w:style>
  <w:style w:type="paragraph" w:customStyle="1" w:styleId="Articletype">
    <w:name w:val="Article type"/>
    <w:next w:val="a"/>
    <w:rsid w:val="00F0245E"/>
    <w:pPr>
      <w:adjustRightInd w:val="0"/>
      <w:snapToGrid w:val="0"/>
      <w:spacing w:after="0" w:line="240" w:lineRule="auto"/>
      <w:jc w:val="left"/>
    </w:pPr>
    <w:rPr>
      <w:rFonts w:ascii="Times New Roman" w:eastAsia="Times New Roman" w:hAnsi="Times New Roman" w:cs="Times New Roman"/>
      <w:i/>
      <w:snapToGrid w:val="0"/>
      <w:color w:val="000000"/>
      <w:kern w:val="0"/>
      <w:szCs w:val="22"/>
      <w:lang w:eastAsia="de-DE" w:bidi="en-US"/>
    </w:rPr>
  </w:style>
  <w:style w:type="paragraph" w:customStyle="1" w:styleId="Default">
    <w:name w:val="Default"/>
    <w:rsid w:val="003742C0"/>
    <w:pPr>
      <w:widowControl w:val="0"/>
      <w:autoSpaceDE w:val="0"/>
      <w:autoSpaceDN w:val="0"/>
      <w:adjustRightInd w:val="0"/>
    </w:pPr>
    <w:rPr>
      <w:rFonts w:ascii="Janson Text LT" w:eastAsia="Janson Text LT" w:cs="Janson Text LT"/>
      <w:color w:val="000000"/>
      <w:kern w:val="0"/>
      <w:sz w:val="24"/>
      <w:szCs w:val="24"/>
    </w:rPr>
  </w:style>
  <w:style w:type="paragraph" w:styleId="a6">
    <w:name w:val="endnote text"/>
    <w:basedOn w:val="a"/>
    <w:link w:val="a7"/>
    <w:rsid w:val="00B50CF2"/>
  </w:style>
  <w:style w:type="character" w:customStyle="1" w:styleId="a7">
    <w:name w:val="尾注文本 字符"/>
    <w:basedOn w:val="a0"/>
    <w:link w:val="a6"/>
    <w:autoRedefine/>
    <w:qFormat/>
    <w:rsid w:val="00B50CF2"/>
    <w:rPr>
      <w:sz w:val="24"/>
      <w:szCs w:val="24"/>
    </w:rPr>
  </w:style>
  <w:style w:type="paragraph" w:customStyle="1" w:styleId="AuthorList">
    <w:name w:val="Author List"/>
    <w:basedOn w:val="a8"/>
    <w:next w:val="a"/>
    <w:uiPriority w:val="1"/>
    <w:rsid w:val="00B50CF2"/>
    <w:pPr>
      <w:spacing w:after="240"/>
    </w:pPr>
    <w:rPr>
      <w:bCs w:val="0"/>
      <w:sz w:val="24"/>
      <w:szCs w:val="24"/>
    </w:rPr>
  </w:style>
  <w:style w:type="paragraph" w:styleId="a8">
    <w:name w:val="Subtitle"/>
    <w:basedOn w:val="a"/>
    <w:next w:val="a"/>
    <w:link w:val="a9"/>
    <w:uiPriority w:val="11"/>
    <w:rsid w:val="0048147D"/>
    <w:pPr>
      <w:spacing w:before="240" w:after="60" w:line="312" w:lineRule="auto"/>
      <w:jc w:val="center"/>
      <w:outlineLvl w:val="1"/>
    </w:pPr>
    <w:rPr>
      <w:b/>
      <w:bCs/>
      <w:kern w:val="28"/>
      <w:sz w:val="32"/>
      <w:szCs w:val="32"/>
    </w:rPr>
  </w:style>
  <w:style w:type="character" w:customStyle="1" w:styleId="a9">
    <w:name w:val="副标题 字符"/>
    <w:basedOn w:val="a0"/>
    <w:link w:val="a8"/>
    <w:uiPriority w:val="11"/>
    <w:qFormat/>
    <w:rsid w:val="0048147D"/>
    <w:rPr>
      <w:b/>
      <w:bCs/>
      <w:kern w:val="28"/>
      <w:sz w:val="32"/>
      <w:szCs w:val="32"/>
    </w:rPr>
  </w:style>
  <w:style w:type="character" w:styleId="aa">
    <w:name w:val="Strong"/>
    <w:basedOn w:val="a0"/>
    <w:autoRedefine/>
    <w:rsid w:val="00A562D0"/>
    <w:rPr>
      <w:b/>
    </w:rPr>
  </w:style>
  <w:style w:type="character" w:customStyle="1" w:styleId="10">
    <w:name w:val="标题 1 字符"/>
    <w:basedOn w:val="a0"/>
    <w:link w:val="1"/>
    <w:rsid w:val="00EC122B"/>
    <w:rPr>
      <w:rFonts w:ascii="Times New Roman" w:eastAsia="宋体" w:hAnsi="Times New Roman"/>
      <w:b/>
      <w:kern w:val="44"/>
      <w:sz w:val="24"/>
      <w:szCs w:val="24"/>
    </w:rPr>
  </w:style>
  <w:style w:type="character" w:customStyle="1" w:styleId="20">
    <w:name w:val="标题 2 字符"/>
    <w:basedOn w:val="a0"/>
    <w:link w:val="2"/>
    <w:rsid w:val="00A43FDC"/>
    <w:rPr>
      <w:rFonts w:ascii="Arial" w:eastAsia="黑体" w:hAnsi="Arial"/>
      <w:b/>
      <w:sz w:val="32"/>
      <w:szCs w:val="24"/>
    </w:rPr>
  </w:style>
  <w:style w:type="paragraph" w:customStyle="1" w:styleId="ab">
    <w:name w:val="稿件类型"/>
    <w:basedOn w:val="a"/>
    <w:rsid w:val="00DC4D3E"/>
    <w:pPr>
      <w:adjustRightInd w:val="0"/>
      <w:snapToGrid w:val="0"/>
    </w:pPr>
    <w:rPr>
      <w:rFonts w:eastAsia="宋体"/>
      <w:i/>
      <w:sz w:val="20"/>
      <w:szCs w:val="21"/>
    </w:rPr>
  </w:style>
  <w:style w:type="paragraph" w:styleId="ac">
    <w:name w:val="No Spacing"/>
    <w:link w:val="ad"/>
    <w:uiPriority w:val="1"/>
    <w:rsid w:val="00F64ABE"/>
    <w:pPr>
      <w:widowControl w:val="0"/>
      <w:autoSpaceDE w:val="0"/>
      <w:autoSpaceDN w:val="0"/>
      <w:adjustRightInd w:val="0"/>
      <w:spacing w:after="0" w:line="240" w:lineRule="auto"/>
      <w:jc w:val="left"/>
    </w:pPr>
    <w:rPr>
      <w:rFonts w:ascii="Times New Roman" w:eastAsia="Times New Roman" w:hAnsi="Times New Roman" w:cs="Times New Roman"/>
      <w:kern w:val="0"/>
      <w:sz w:val="24"/>
      <w:szCs w:val="24"/>
      <w:lang w:val="en-GB" w:eastAsia="en-GB"/>
    </w:rPr>
  </w:style>
  <w:style w:type="paragraph" w:customStyle="1" w:styleId="ae">
    <w:name w:val="参考文献"/>
    <w:basedOn w:val="a"/>
    <w:rsid w:val="00DF2941"/>
    <w:pPr>
      <w:ind w:left="360" w:hangingChars="200" w:hanging="360"/>
    </w:pPr>
    <w:rPr>
      <w:sz w:val="18"/>
    </w:rPr>
  </w:style>
  <w:style w:type="paragraph" w:customStyle="1" w:styleId="Backmatter">
    <w:name w:val="Back matter"/>
    <w:uiPriority w:val="18"/>
    <w:rsid w:val="000F1289"/>
    <w:pPr>
      <w:adjustRightInd w:val="0"/>
      <w:snapToGrid w:val="0"/>
      <w:spacing w:beforeLines="50" w:before="50" w:afterLines="50" w:after="50"/>
    </w:pPr>
    <w:rPr>
      <w:rFonts w:ascii="Times New Roman" w:eastAsia="Times New Roman" w:hAnsi="Times New Roman" w:cs="Times New Roman"/>
      <w:b/>
      <w:snapToGrid w:val="0"/>
      <w:color w:val="000000"/>
      <w:kern w:val="0"/>
      <w:sz w:val="24"/>
      <w:szCs w:val="24"/>
      <w:lang w:eastAsia="en-US" w:bidi="en-US"/>
    </w:rPr>
  </w:style>
  <w:style w:type="paragraph" w:customStyle="1" w:styleId="Articletitle">
    <w:name w:val="Article title"/>
    <w:next w:val="a"/>
    <w:uiPriority w:val="1"/>
    <w:rsid w:val="00FD524C"/>
    <w:pPr>
      <w:adjustRightInd w:val="0"/>
      <w:snapToGrid w:val="0"/>
      <w:spacing w:after="0" w:line="240" w:lineRule="auto"/>
    </w:pPr>
    <w:rPr>
      <w:rFonts w:ascii="Times New Roman" w:eastAsia="Times New Roman" w:hAnsi="Times New Roman" w:cs="Times New Roman"/>
      <w:b/>
      <w:snapToGrid w:val="0"/>
      <w:color w:val="000000"/>
      <w:kern w:val="0"/>
      <w:sz w:val="36"/>
      <w:lang w:eastAsia="de-DE" w:bidi="en-US"/>
    </w:rPr>
  </w:style>
  <w:style w:type="paragraph" w:customStyle="1" w:styleId="21">
    <w:name w:val="标题2"/>
    <w:basedOn w:val="a"/>
    <w:link w:val="22"/>
    <w:rsid w:val="0040337E"/>
    <w:pPr>
      <w:spacing w:beforeLines="50" w:before="156" w:afterLines="50" w:after="156"/>
      <w:outlineLvl w:val="1"/>
    </w:pPr>
    <w:rPr>
      <w:rFonts w:eastAsia="仿宋"/>
      <w:i/>
      <w:iCs/>
    </w:rPr>
  </w:style>
  <w:style w:type="character" w:customStyle="1" w:styleId="22">
    <w:name w:val="标题2 字符"/>
    <w:basedOn w:val="a0"/>
    <w:link w:val="21"/>
    <w:autoRedefine/>
    <w:qFormat/>
    <w:rsid w:val="0040337E"/>
    <w:rPr>
      <w:rFonts w:eastAsia="仿宋"/>
      <w:i/>
      <w:iCs/>
      <w:sz w:val="24"/>
    </w:rPr>
  </w:style>
  <w:style w:type="paragraph" w:customStyle="1" w:styleId="af">
    <w:name w:val="文章标题"/>
    <w:basedOn w:val="a"/>
    <w:link w:val="af0"/>
    <w:rsid w:val="00D61562"/>
    <w:pPr>
      <w:kinsoku w:val="0"/>
      <w:overflowPunct w:val="0"/>
    </w:pPr>
    <w:rPr>
      <w:b/>
      <w:bCs/>
      <w:spacing w:val="-8"/>
      <w:sz w:val="36"/>
      <w:szCs w:val="36"/>
    </w:rPr>
  </w:style>
  <w:style w:type="character" w:customStyle="1" w:styleId="af0">
    <w:name w:val="文章标题 字符"/>
    <w:link w:val="af"/>
    <w:qFormat/>
    <w:rsid w:val="00D61562"/>
    <w:rPr>
      <w:rFonts w:ascii="Times New Roman" w:eastAsia="Times New Roman" w:hAnsi="Times New Roman"/>
      <w:b/>
      <w:bCs/>
      <w:spacing w:val="-8"/>
      <w:sz w:val="36"/>
      <w:szCs w:val="36"/>
    </w:rPr>
  </w:style>
  <w:style w:type="paragraph" w:customStyle="1" w:styleId="EndNoteBibliography">
    <w:name w:val="EndNote Bibliography"/>
    <w:basedOn w:val="a"/>
    <w:link w:val="EndNoteBibliography0"/>
    <w:rsid w:val="008C3B25"/>
  </w:style>
  <w:style w:type="character" w:customStyle="1" w:styleId="EndNoteBibliography0">
    <w:name w:val="EndNote Bibliography 字符"/>
    <w:basedOn w:val="a0"/>
    <w:link w:val="EndNoteBibliography"/>
    <w:autoRedefine/>
    <w:qFormat/>
    <w:locked/>
    <w:rsid w:val="008C3B25"/>
    <w:rPr>
      <w:rFonts w:eastAsia="Times New Roman"/>
      <w:sz w:val="24"/>
    </w:rPr>
  </w:style>
  <w:style w:type="paragraph" w:customStyle="1" w:styleId="Affiliation">
    <w:name w:val="Affiliation"/>
    <w:uiPriority w:val="3"/>
    <w:rsid w:val="004650D2"/>
    <w:rPr>
      <w:rFonts w:ascii="Times New Roman" w:eastAsia="Times New Roman" w:hAnsi="Times New Roman" w:cs="Times New Roman"/>
      <w:color w:val="000000"/>
      <w:kern w:val="0"/>
      <w:szCs w:val="21"/>
      <w:lang w:eastAsia="de-DE" w:bidi="en-US"/>
    </w:rPr>
  </w:style>
  <w:style w:type="paragraph" w:styleId="af1">
    <w:name w:val="footer"/>
    <w:basedOn w:val="a"/>
    <w:link w:val="af2"/>
    <w:rsid w:val="002C355F"/>
    <w:pPr>
      <w:tabs>
        <w:tab w:val="center" w:pos="4680"/>
        <w:tab w:val="right" w:pos="9360"/>
      </w:tabs>
    </w:pPr>
  </w:style>
  <w:style w:type="character" w:customStyle="1" w:styleId="af2">
    <w:name w:val="页脚 字符"/>
    <w:basedOn w:val="a0"/>
    <w:link w:val="af1"/>
    <w:autoRedefine/>
    <w:qFormat/>
    <w:rsid w:val="002C355F"/>
    <w:rPr>
      <w:sz w:val="22"/>
      <w:szCs w:val="28"/>
    </w:rPr>
  </w:style>
  <w:style w:type="paragraph" w:customStyle="1" w:styleId="Abstract">
    <w:name w:val="Abstract"/>
    <w:next w:val="a"/>
    <w:uiPriority w:val="5"/>
    <w:rsid w:val="0075737D"/>
    <w:pPr>
      <w:spacing w:after="0" w:line="240" w:lineRule="auto"/>
    </w:pPr>
    <w:rPr>
      <w:rFonts w:ascii="Times New Roman" w:eastAsia="Times New Roman" w:hAnsi="Times New Roman" w:cs="Times New Roman"/>
      <w:color w:val="000000"/>
      <w:kern w:val="0"/>
      <w:sz w:val="21"/>
      <w:szCs w:val="21"/>
      <w:lang w:eastAsia="de-DE" w:bidi="en-US"/>
    </w:rPr>
  </w:style>
  <w:style w:type="character" w:customStyle="1" w:styleId="ad">
    <w:name w:val="无间隔 字符"/>
    <w:link w:val="ac"/>
    <w:uiPriority w:val="1"/>
    <w:locked/>
    <w:rsid w:val="00F64ABE"/>
    <w:rPr>
      <w:rFonts w:ascii="Times New Roman" w:eastAsia="Times New Roman" w:hAnsi="Times New Roman" w:cs="Times New Roman"/>
      <w:kern w:val="0"/>
      <w:sz w:val="24"/>
      <w:szCs w:val="24"/>
      <w:lang w:val="en-GB" w:eastAsia="en-GB"/>
    </w:rPr>
  </w:style>
  <w:style w:type="paragraph" w:customStyle="1" w:styleId="MDPI11articletype">
    <w:name w:val="MDPI_1.1_article_type"/>
    <w:next w:val="a"/>
    <w:rsid w:val="00D61562"/>
    <w:pPr>
      <w:adjustRightInd w:val="0"/>
      <w:snapToGrid w:val="0"/>
      <w:spacing w:before="240"/>
      <w:ind w:firstLine="567"/>
    </w:pPr>
    <w:rPr>
      <w:rFonts w:ascii="Palatino Linotype" w:eastAsia="Times New Roman" w:hAnsi="Palatino Linotype" w:cs="Times New Roman"/>
      <w:i/>
      <w:snapToGrid w:val="0"/>
      <w:color w:val="000000"/>
      <w:kern w:val="0"/>
      <w:lang w:eastAsia="de-DE" w:bidi="en-US"/>
    </w:rPr>
  </w:style>
  <w:style w:type="character" w:styleId="af3">
    <w:name w:val="line number"/>
    <w:basedOn w:val="a0"/>
    <w:uiPriority w:val="99"/>
    <w:unhideWhenUsed/>
    <w:rsid w:val="00656283"/>
    <w:rPr>
      <w:rFonts w:ascii="Times New Roman" w:hAnsi="Times New Roman"/>
    </w:rPr>
  </w:style>
  <w:style w:type="character" w:styleId="af4">
    <w:name w:val="Emphasis"/>
    <w:uiPriority w:val="20"/>
    <w:rsid w:val="00286D37"/>
    <w:rPr>
      <w:i/>
      <w:iCs/>
    </w:rPr>
  </w:style>
  <w:style w:type="paragraph" w:customStyle="1" w:styleId="MDPI31text">
    <w:name w:val="MDPI_3.1_text"/>
    <w:rsid w:val="00286D37"/>
    <w:pPr>
      <w:adjustRightInd w:val="0"/>
      <w:snapToGrid w:val="0"/>
      <w:spacing w:after="0" w:line="228" w:lineRule="auto"/>
      <w:ind w:left="2608" w:firstLine="425"/>
    </w:pPr>
    <w:rPr>
      <w:rFonts w:ascii="Palatino Linotype" w:eastAsia="Times New Roman" w:hAnsi="Palatino Linotype" w:cs="Times New Roman"/>
      <w:snapToGrid w:val="0"/>
      <w:color w:val="000000"/>
      <w:kern w:val="0"/>
      <w:szCs w:val="22"/>
      <w:lang w:eastAsia="de-DE" w:bidi="en-US"/>
    </w:rPr>
  </w:style>
  <w:style w:type="paragraph" w:customStyle="1" w:styleId="Authornames">
    <w:name w:val="Authornames"/>
    <w:next w:val="a"/>
    <w:uiPriority w:val="2"/>
    <w:rsid w:val="00D973E5"/>
    <w:pPr>
      <w:spacing w:after="0" w:line="240" w:lineRule="auto"/>
    </w:pPr>
    <w:rPr>
      <w:rFonts w:ascii="Times New Roman" w:eastAsia="Times New Roman" w:hAnsi="Times New Roman" w:cs="Times New Roman"/>
      <w:color w:val="000000"/>
      <w:kern w:val="0"/>
      <w:sz w:val="21"/>
      <w:szCs w:val="21"/>
      <w:lang w:eastAsia="de-DE" w:bidi="en-US"/>
    </w:rPr>
  </w:style>
  <w:style w:type="paragraph" w:styleId="af5">
    <w:name w:val="Bibliography"/>
    <w:basedOn w:val="a"/>
    <w:next w:val="a"/>
    <w:uiPriority w:val="37"/>
    <w:semiHidden/>
    <w:unhideWhenUsed/>
    <w:rsid w:val="001B34B4"/>
  </w:style>
  <w:style w:type="paragraph" w:styleId="af6">
    <w:name w:val="header"/>
    <w:basedOn w:val="a"/>
    <w:link w:val="af7"/>
    <w:uiPriority w:val="99"/>
    <w:unhideWhenUsed/>
    <w:rsid w:val="00A767B8"/>
    <w:pPr>
      <w:pBdr>
        <w:bottom w:val="single" w:sz="6" w:space="1" w:color="auto"/>
      </w:pBdr>
      <w:tabs>
        <w:tab w:val="center" w:pos="4153"/>
        <w:tab w:val="right" w:pos="8306"/>
      </w:tabs>
      <w:snapToGrid w:val="0"/>
      <w:jc w:val="center"/>
    </w:pPr>
    <w:rPr>
      <w:sz w:val="18"/>
      <w:szCs w:val="18"/>
    </w:rPr>
  </w:style>
  <w:style w:type="character" w:customStyle="1" w:styleId="af7">
    <w:name w:val="页眉 字符"/>
    <w:basedOn w:val="a0"/>
    <w:link w:val="af6"/>
    <w:uiPriority w:val="99"/>
    <w:rsid w:val="00A767B8"/>
    <w:rPr>
      <w:rFonts w:ascii="Times New Roman" w:hAnsi="Times New Roman"/>
      <w:sz w:val="18"/>
      <w:szCs w:val="18"/>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1063</Words>
  <Characters>5989</Characters>
  <Application>Microsoft Office Word</Application>
  <DocSecurity>0</DocSecurity>
  <Lines>83</Lines>
  <Paragraphs>39</Paragraphs>
  <ScaleCrop>false</ScaleCrop>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dc:creator>
  <cp:keywords/>
  <dc:description/>
  <cp:lastModifiedBy>Jeorjia</cp:lastModifiedBy>
  <cp:revision>3</cp:revision>
  <dcterms:created xsi:type="dcterms:W3CDTF">2025-05-07T19:44:00Z</dcterms:created>
  <dcterms:modified xsi:type="dcterms:W3CDTF">2025-05-29T09:28:00Z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5bab8eee6ba3c7e86636f212f2aa3989826c043626e0180211d6d6ef2d5c60c6</vt:lpwstr>
  </property>
</Properties>
</file>